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459 vom 17. Oktober 1973</w:t>
      </w:r>
    </w:p>
    <w:p>
      <w:r>
        <w:t>Bundesgericht (BGE), 1973-10-17, DE</w:t>
      </w:r>
    </w:p>
    <w:p>
      <w:r>
        <w:rPr>
          <w:b/>
        </w:rPr>
        <w:t xml:space="preserve">Quelle: </w:t>
      </w:r>
      <w:r>
        <w:t>https://mcp.opencaselaw.ch/entscheid/bge_99 IA 459</w:t>
      </w:r>
    </w:p>
    <w:p>
      <w:r>
        <w:t>FR: BGE 99 IA 459 du 17 octobre 1973</w:t>
      </w:r>
    </w:p>
    <w:p>
      <w:r>
        <w:t>IT: BGE 99 IA 459 del 17 ottobre 1973</w:t>
      </w:r>
    </w:p>
    <w:p>
      <w:pPr>
        <w:pStyle w:val="Heading2"/>
      </w:pPr>
      <w:r>
        <w:t>Regeste</w:t>
      </w:r>
    </w:p>
    <w:p>
      <w:r>
        <w:t>Regeste Art. 4 BV. Handänderungssteuer; Verkauf von Aktien; wirtschaftliche Betrachtungsweise. Der Verkauf der Gesamtheit oder überwiegenden Mehrheit der Aktien einer Immobiliengesellschaft kann ohne Verletzung von Art. 4 BV in wirtschaftlicher Betrachtungsweise dem Verkauf der der AG gehörenden Grundstücke gleichgestellt und damit der Handänderungssteuer unterworfen werden. Hingegen ist es, jedenfalls aufgrund der luzernischen Gesetzgebung, mit Art. 4 BV nicht vereinbar, auch den Übergang der Mehrheitsbeteiligung an Betriebsgesellschaften in bezug auf die im Eigentum der Gesellschaft befindlichen Grundstücke der Handänderungssteuer zu unterstellen.</w:t>
      </w:r>
    </w:p>
    <w:p>
      <w:pPr>
        <w:pStyle w:val="Heading2"/>
      </w:pPr>
      <w:r>
        <w:t>Erwägungen</w:t>
      </w:r>
    </w:p>
    <w:p>
      <w:r>
        <w:rPr>
          <w:b/>
        </w:rPr>
        <w:t>E. 1</w:t>
      </w:r>
    </w:p>
    <w:p>
      <w:r>
        <w:t>(Prozessuales.)</w:t>
      </w:r>
    </w:p>
    <w:p>
      <w:r>
        <w:rPr>
          <w:b/>
        </w:rPr>
        <w:t>E. 2</w:t>
      </w:r>
    </w:p>
    <w:p>
      <w:r>
        <w:t>Karl und Alfred Ackermann haben fast sämtliche Aktien (98,4%) der Gebr. Ackermann AG und die Gesamtheit der Aktien der Stoff AG an ein aus drei Personen bestehendes Konsortium verkauft. Die Grundstücke, die den beiden Aktiengesellschaften gehören, sind damit nicht auf einen andern Eigentümer übergegangen. Zivilrechtlich sind die Eigentumsverhältnisse nach wie vor dieselben. Der Regierungsrat hat indessen angenommen, wirtschaftlich sei das Eigentum an den BGE 99 Ia 459 S. 463 Grundstücken von den beiden Brüdern Ackermann auf die drei Personen des Käuferkonsortiums übergegangen. In wirtschaftlicher Betrachtungsweise erblickte er im Übergang der Aktien eine Handänderung hinsichtlich der Grundstücke. Nach der bundesgerichtlichen Rechtsprechung ist die von den Beteiligten gewählte Gestaltung der zivilrechtlichen Verhältnisse für die Besteuerung nicht ohne weiteres massgebend. Vielmehr darfunter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98 Ib 323 , BGE 96 I 118 , BGE 95 I 143 , BGE 94 I 595 , BGE 93 I 691 , BGE 90 I 221 mit Hinweisen auf frühere Urteile). Die Anwendung dieser Grundsätze durch das Bundesgericht war wohl nicht immer ganz folgerichtig. Es hat die Zulässigkeit der wirtschaftlichen Betrachtungsweise gelegentlich auch unter dem Gesichtswinkel des Art. 4 BV davon abhängig gemacht, dass die gewählte Rechtsgestaltung als den wirtschaftlichen Gegebenheiten völlig unangemessen erscheine und angenommen werden müsse, sie sei missbräuchlich und nur deshalb gewählt worden, um die bei sachgemässer Ordnung der Verhältnisse getroffenen Steuern einzusparen (ASA 27 S. 190; vgl. dazu ARIOLI, Zulässigkeit der wirtschaftlichen Betrachtungsweise nach Art. 4 BV , ASA 34 S. 81 ff, insbesondere S. 87). - Wie in der Rechtslehre mit Grund ausgeführt wurde, ist es auch im Rahmen von Willkürbeschwerden angebracht, je nach dem anwendbaren kantonalen Gesetz die Grenzen der wirtschaftlichen Betrachtungsweise enger oder weiter zu ziehen (ARIOLI, a.a.O. S. 92; im gleichen Sinn auch das in ASA 27 S. 188 ff. veröffentlichte Bundesgerichtsurteil, E. 4). Eine gewisse Zurückhaltung ist am Platz, weil die Besteuerung auf Grund rein wirtschaftlicher Betrachtung im allgemeinen den Grundsatz der Gesetzmässigkeit der Steuer beeinträchtigt. Der sogenannte Durchgriff bei Aktiengesellschaften, der dazu führt, dass steuerlich die Existenz der Gesellschaften ganz oder teilweise BGE 99 Ia 459 S. 464 unbeachtet bleibt, darf nur vorgenommen werden, wenn gewichtige Gründe ein solches Vorgehen nahelegen (vgl. nicht veröffentlichtes Urteil des Bundesgerichts vom 20. Dezember 1972 i.S. Müller, E. 2).</w:t>
      </w:r>
    </w:p>
    <w:p>
      <w:r>
        <w:rPr>
          <w:b/>
        </w:rPr>
        <w:t>E. 3</w:t>
      </w:r>
    </w:p>
    <w:p>
      <w:r>
        <w:t>a) Nach der bundesgerichtlichen Rechtsprechung kann in wirtschaftlicher Betrachtungsweise ein der Gewinn- oder Handänderungssteuer unterliegender Eigentumsübergang angenommen werden, wenn die Gesamtheit oder die überwiegende Mehrheit der Aktien einer Immobiliengesellschaft veräussert wird ( BGE 98 Ia 92 f., BGE 91 I 471 , BGE 85 I 101 /2, BGE 79 I 19 ff., BGE 75 I 302 f., ASA 33 S. 347 E. 2). Man mag den Begriff der Immobiliengesellschaft etwas enger oder weiter fassen (vgl. dazu REIMANN/ZUPPINGER/SCHÄRRER, Komm. zum zürcherischen StG, Bd. IV N 63 zu § 161), in jedem Fall ist es klar, dass weder die Gebr. Ackermann AG noch die Stoff AG zu dieser Art von Gesellschaften gehört. Das ergibt sich nicht nur aus dem Zweck der beiden Gesellschaften, sondern auch daraus, dass die Immobilien bei beiden Firmen nur rund einen Drittel aller Gesellschaftsaktiven ausmachen. Beide Aktiengesellschaften sind unbestrittenermassen nicht Immobilien-, sondern ausgesprochene Betriebsgesellschaften, und es stellt sich die Frage, ob die erwähnte bundesgerichtliche Rechtsprechung, die sich bis jetzt nur auf Immobiliengesellschaften bezog, hinsichtlich der streitigen Handänderungssteuer auch auf Betriebsgesellschaften auszudehnen ist. b) Nach § 1 HGG ist eine Handänderungsgebühr zu entrichten, wenn eine Liegenschaft "an einen neuen Eigentümer übergeht". Während andere kantonale Steuergesetze den Handänderungen an Grundstücken ausdrücklich die Rechtsgeschäfte gleichstellen, die bezüglich der Verfügungsgewalt über Grundstücke tatsächlich und wirtschaftlich wie Handänderungen wirken (vgl. § 161 Abs. 1 lit. a des Zürcher StG, § 81 Abs. 2 lit. a des Berner StG und § 16 Abs. 1 II Ziff. 2 des Berner Amtsschreibereigesetzes), enthält das luzernische HGG keine entsprechende Norm. Das bedeutet nicht, dass deswegen die wirtschaftliche Betrachtungsweise ausgeschlossen wäre. Die Meinung ZUPPINGERS, die Besteuerung der wirtschaftlichen Handänderung sei ohne gesetzliche Vorschrift überhaupt nur zulässig, wenn eine Steuerumgehung vorliege (Steuerrevue 1969 S. 467), ist an sich überzeugend, doch ist daran festzuhalten, dass unter dem Gesichtspunkt des Art. 4 BV die wirtschaftliche BGE 99 Ia 459 S. 465 Betrachtungsweise auch in Fällen erlaubt sein kann, in denen die Absicht einer Steuerumgehung fehlt. Das Bundesgericht hat denn auch schon wiederholt die Ansicht, § 1 des luzernischen HGG erfasse auch die wirtschaftliche Handänderung, als vor Art. 4 BV haltbar bezeichnet (nicht veröffentlichte Urteile vom 2. Juli 1945 i.S. Müller und Gaegauf, vom 29. Juni 1960 i.S. Willimann, vom 16. Juni 1965 i.S. Dali). Freilich kann der in einzelnen Bundesgerichtsurteilen enthaltenen Erwägung, der im HGG verwendete Ausdruck "Handänderung" bezeichne nicht nur den zivilrechtlichen Eigentumsübergang, sondern auch ganz allgemein die rechtsgeschäftliche Verschiebung von Grundeigentumswerten, bei erneuter Betrachtung kein Gewicht beigemessen werden. Der Steuertatbestand ist in § 1 HGG umschrieben, und nach dieser Umschreibung ist die Steuer zu entrichten, "wenn eine Liegenschaft an einen neuen Eigentümer übergeht", womit klarerweise der Eigentumsübergang im Rechtssinn bezeichnet ist. Trotzdem ist es nach dem Gesagten nicht ausgeschlossen, mit der Handänderungssteuer auch Fälle zu erfassen, die wirtschaftlich einer Handänderung gleichkommen. Die Konzeption des Gesetzes, das auf die rechtliche Gestaltung abstellt und die wirtschaftliche Betrachtungsweise im Gegensatz zu andern Steuergesetzen nicht ausdrücklich zulässt, zwingt in diesem Bereich indessen zur Zurückhaltung; denn es versteht sich, dass ein Steuergesetz, welches die wirtschaftliche Betrachtungsweise ausdrücklich vorsieht, der kantonalen Steuerbehörde einen weitern Spielraum einräumt, als es das luzernische HGG tut. c) Es darf auch nicht unbeachtet bleiben, aus welchem Grund die Praxis der Steuerbehörden eingeführt wurde, wonach die Handänderungssteuer trotz gleichbleibender Verhältnisse im zivilrechtlichen Grundeigentum zu erheben ist, wenn die Gesamtheit oder überwiegende Mehrheit der Aktien einer Immobiliengesellschaft die Hand wechselt. Privatpersonen, die Eigentümer von Liegenschaften waren und diese zu veräussern gedachten, gründeten seinerzeit in zunehmendem Mass Aktiengesellschaften, auf welche sie die Liegenschaften übertrugen. Das geschah aus dem einzigen oder hauptsächlichen Grund, um später die mit einer Handänderung verbundenen Steuern zu ersparen. Um diesen Manövern einen Riegel zu schieben, rechtfertigte es sich, in wirtschaftlicher Betrachtung den Übergang des Aktienbesitzes dem Eigentumsübergang gleichzustellen, BGE 99 Ia 459 S. 466 weil die Immobiliengesellschaft im allgemeinen mehr nur die Form darstellt, unter welcher die Beteiligten ihren Grundbesitz ausüben, und das Interesse der Aktionäre mehr auf den wirtschaftlichen Liegenschaftenbesitz als auf die Aktie als Wertpapier gerichtet ist (GRAF, ZBl 34, S. 347). Das Bundesgericht hat es mit Grund als sachlich gerechtfertigt bezeichnet, die Abgabepflicht auf die Übertragung von Aktien einer Immobiliengesellschaft zu beschränken und bei Erwerbsgesellschaften mit vielleicht bedeutenderem kapitalmässigen Liegenschaftsbesitz keine Steuer zu erheben (Urteil vom 19. September 1956 i.S. Konsumgenossenschaft Bern, publ. in MBVR 55, 1957, S. 153 ff., E. 3 c). Zur Begründung führte das Bundesgericht aus, wenn der Zweck einer Gesellschaft zur Hauptsache im Erwerb, in der Verwaltung und dem Wiederverkauf von Grundstücken bestehe, dann erfülle die Veräusserung der Gesellschaftsanteile wirtschaftlich die gleiche Funktion wie die Übertragung des Eigentums an den Liegenschaften. Der Käufer erlange dadurch die Verfügungsmacht über das Gesellschaftsvermögen, und da dieses zur Hauptsache aus Grundstücken bestehe, erschöpfe sich wirtschaftlich der Vorgang im wesentlichen darin, dass dem Erwerber eine Stellung wie diejenige eines Eigentümers der betreffenden Grundstücke verschafft werde. Anders verhalte es sich hingegen beim Verkauf der Aktien einer Erwerbsgesellschaft. Dessen Wirkungen erschöpften sich nicht in der Übertragung der Verfügungsmacht über die im Eigentum der Gesellschaft befindlichen Grundstücke; diese Verfügungsmacht sei lediglich ein Ausfluss der viel weitergehenden Beherrschung des gesamten Unternehmens, die der Käufer mit dem Erwerb der Aktien erlange. - Der Grund, der es als gerechtfertigt erscheinen lässt, den Übergang der Aktien jenem des Grundeigentums gleichzustellen, fehlt somit dann, wenn die Aktien einer Betriebsgesellschaft veräussert werden. Bei der Übertragung der Aktien der Gebr. Ackermann AG und der Stoff AG ging es nicht darum, wirtschaftlich Grundstücke auf einen neuen Eigentümer zu übertragen; vielmehr wurde das ganze Unternehmen aufgekauft, wobei die Grundstücke nur den geringeren Teil der Gesellschaftsaktiven ausmachten. Anders als durch Übertragung des Aktienbesitzes konnte die Übernahme des Unternehmens im übrigen kaum ohne Schwierigkeiten bewerkstelligt werden; auf jeden Fall kann von einer irgendwie missbräuchlichen Rechtsgestaltung nicht die Rede sein. Nur BGE 99 Ia 459 S. 467 wenn ein Rechtsgeschäft wirtschaftlich der Übertragung von Grund und Boden gleichkommt und sich darin erschöpft, d.h. nur bei Übertragung des Aktienbesitzes an Immobiliengesellschaften, lässt es sich mit triftigen Gründen rechtfertigen, den Übergang der Aktien steuerlich wie den Übergang des Eigentums an Grundstücken zu behandeln, während solche gewichtigen Gründe fehlen, wenn eine Betriebsgesellschaft, die Eigentümerin von Grundstücken ist, durch Übertragung der Aktien in andere Hände übergeht. d) Soweit zu ersehen, wird denn auch in der Rechtslehre entsprechend der bisherigen Rechtsprechung des Bundesgerichts die Ansicht vertreten, die Übertragung des Aktienbesitzes könne steuerlich nur bei Immobiliengesellschaften dem Übergang des Eigentums an den der Gesellschaft gehörenden Grundstücken gleichgestellt werden (BLUMENSTEIN, System des Steuerrechts, 3. A., S. 168; ZUPPINGER, Die wirtschaftliche Handänderung im Steuerrecht, Steuerrevue 1969 S. 455 ff., insbesondere S. 471/2 mit weitern Literaturhinweisen; GRAF, Luzernische Handänderungsgebühren nach Gesetz und Praxis, Diss. Fribourg 1945, S. 49 ff.; GUHL, Die Spezialbesteuerung der Grundstückgewinne in der Schweiz, Diss. Zürich 1953, S. 101; SCHUBIGER, Das zürcherische Grundstückgewinn- und Handänderungssteuerrecht, Diss. Zürich 1942, S. 49; MEIER, Die bernischen Handänderungs- und Pfandrechtsabgaben, Diss. Bern 1946, S. 88 ff.; GRAF, ZBl 39, S. 347/8 und 34 S. 346). Nach § 161 des zürcherischen Steuergesetzes sind, wie ausgeführt, den Handänderungen an Grundstücken Rechtsgeschäfte gleichgestellt, die bezüglich der Verfügungsgewalt über Grundstücke tatsächlich und wirtschaftlich wie Handänderungen wirken. Obschon das Steuergesetz solchermassen die wirtschaftliche Betrachtung ausdrücklich zulässt, steht auch die zürcherische Rechtslehre in Übereinstimmung mit der Praxis auf dem Standpunkt, die Steuer dürfe nur bei Übertragung von Beteiligungen an reinen Immobiliengesellschaften erhoben werden (REIMANN/ZUPPINGER/SCHÄRRER N 62 zu § 161 StG ). Umso mehr muss das bei Anwendung eines kantonalen Steuergesetzes gelten, das wie das luzernische die wirtschaftliche Betrachtungsweise nicht ausdrücklich vorsieht. In der schweizerischen Rechtslehre scheint einzig IRENE BLUMENSTEIN die unterschiedliche steuerliche Behandlung des Aktienübergangs bei Immobiliengesellschaften einerseits und BGE 99 Ia 459 S. 468 Betriebsgesellschaften anderseits nicht für überzeugend zu halten (ASA 30 S. 221 ff.). Ihre Ausführungen beziehen sich aber nur auf Steuergesetze, die hinsichtlich des Begriffes der Handänderung durch eine Generalklausel die wirtschaftliche Betrachtungsweise ausdrücklich zulassen. Demgegenüber enthält das luzernische Gesetz keine solche Generalklausel, deren Tragweite auszulegen wäre. Zudem verkennt Irene Blumenstein doch wohl, dass bei der Übertragung des Aktienbesitzes einer Immobiliengesellschaft das Rechtsgeschäft praktisch einem Grundstückkauf gleichkommt und sich darin erschöpft, während beim Übergang des Aktienbesitzes einer Betriebsgesellschaft der Aktienkäufer die viel weitergehende Beherrschung des gesamten Unternehmens erlangt, wobei die wirtschaftliche Verfügungsmacht über die Grundstücke der Gesellschaft nur ein Ausfluss dieser das Unternehmen beherrschenden Stellung ist (MBVR 55 S. 160), der Aktienerwerb somit nicht mehr einem blossen Grundstückkauf gleichgestellt und steuerlich wie dieser behandelt werden kann. Würde man entgegen der bisherigen Rechtsprechung des Bundesgerichts den Grundsatz aufgeben, dass nur Rechtsgeschäfte, die wirtschaftlich einem Grundstückkauf gleichkommen und deren Wirkung sich darin erschöpft, steuerlich wie ein Eigentumsübergang an Grundstücken behandelt werden dürfen, so wäre es auch kaum mehr folgerichtig, das weitere Prinzip aufrechtzuerhalten, wonach die Besteuerung nur erfolgen darf, wenn die gesamte oder die überwiegende Mehrheit der Aktien übertragen wird ( BGE 85 I 102 ); denn es lässt sich die Ansicht vertreten, auch ein Kleinaktionär erwerbe mit dem Kauf einer einzigen Aktie oder einiger weniger solcher Papiere wirtschaftlich irgendwie einen Anteil am Grundbesitz der Gesellschaft. Solche Geschäfte, die mit dem Erwerb von Grundstücken im allgemeinen praktisch nichts zu tun haben, ohne gesetzliche Grundlage der Handänderungssteuer zu unterstellen, ginge klarerweise nicht an. Das zeigt, dass der Rahmen, in welchem die wirtschaftliche Betrachtung zulässig ist, nicht überspannt werden darf.</w:t>
      </w:r>
    </w:p>
    <w:p>
      <w:r>
        <w:rPr>
          <w:b/>
        </w:rPr>
        <w:t>E. 4</w:t>
      </w:r>
    </w:p>
    <w:p>
      <w:r>
        <w:t>Die vorstehenden Erwägungen lassen sich wie folgt zusammenfassen: Das luzernische HGG sieht die Besteuerung auf Grund wirtschaftlicher Betrachtung im Gegensatz zu andern kantonalen Steuergesetzen nicht ausdrücklich vor; schon deshalb ist Zurückhaltung geboten. Wollte man der Auffassung BGE 99 Ia 459 S. 469 des Regierungsrates folgen, so käme man zum völlig ungereimten Ergebnis, dass nach luzernischem Recht in wirtschaftlicher Betrachtungsweise der Aktienübergang auch bei Betriebsgesellschaften besteuert werden dürfte, während dies nach bernischem Recht, das die wirtschaftliche Betrachtungsweise ausdrücklich vorsieht, nicht zulässig wäre, weil nach Art. 81 Abs. 2 lit. a StG der Veräusserung von Grundstücken nur die "Veräusserung der Mehrheitsbeteiligung an einer Immobiliengesellschaft oder -genossenschaft gleichgestellt ist". - Es lässt sich nur dann mit triftigen sachlichen Gründen rechtfertigen, den Übergang der Gesamtheit oder der überwiegenden Mehrheit der Aktien der Übertragung des Eigentums an Grundstücken der Gesellschaft gleichzustellen, wenn der Aktienübergang wirtschaftlich einem Grundstückkauf gleichkommt und seine Wirkung sich darin erschöpft. Das ist entsprechend der bisherigen bundesgerichtlichen Rechtsprechung nur bei Immobiliengesellschaften der Fall, es wäre denn, dass aussergewöhnliche Verhältnisse, wie sie hier nicht vorliegen (z.B. Absicht der Steuerumgehung), ausnahmsweise auch die Besteuerung des Aktienübergangs von Betriebsgesellschaften zu rechtfertigen vermöchten. Es bestehen keine gewichtigen Gründe, die es zulassen würden, den Übergang der Aktien der Gebr. Ackermann AG und der Stoff AG steuerlich wie eine zivilrechtliche Übertragung des Eigentums an den Grundstücken dieser Gesellschaften zu behandeln, da das Rechtsgeschäft nicht einem Grundstückkauf gleichkommt, sondern die Übernahme zweier Unternehmen zum Gegenstand hat, deren Aktiven nur zu einem geringen Teil in Grundstücken bestehen. Der angefochtene Entscheid ist demnach vor Art. 4 BV nicht haltbar und aufzuheben. Damit erübrigt es sich, auf die weitern Rügen der Beschwerdeführer einzugehen.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